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Normal"/>
        <w:jc w:val="center"/>
        <w:rPr>
          <w:rFonts w:ascii="TimesNewRoman" w:hAnsi="TimesNewRoman" w:eastAsia="Times New Roman" w:cs="TimesNewRoman"/>
          <w:b/>
          <w:b/>
          <w:bCs/>
          <w:color w:val="auto"/>
          <w:sz w:val="40"/>
          <w:szCs w:val="40"/>
          <w:u w:val="single"/>
        </w:rPr>
      </w:pPr>
      <w:r>
        <w:rPr>
          <w:rFonts w:eastAsia="Times New Roman" w:cs="TimesNewRoman" w:ascii="TimesNewRoman" w:hAnsi="TimesNewRoman"/>
          <w:b/>
          <w:bCs/>
          <w:color w:val="auto"/>
          <w:sz w:val="40"/>
          <w:szCs w:val="40"/>
          <w:u w:val="single"/>
        </w:rPr>
      </w:r>
    </w:p>
    <w:p>
      <w:pPr>
        <w:pStyle w:val="Normal"/>
        <w:jc w:val="center"/>
        <w:rPr/>
      </w:pP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  <w:u w:val="single"/>
        </w:rPr>
        <w:t>PREDMET:</w:t>
      </w: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 xml:space="preserve">INFORMATIKA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NewRoman" w:hAnsi="TimesNewRoman" w:eastAsia="Times New Roman" w:cs="TimesNewRoman"/>
          <w:b/>
          <w:b/>
          <w:bCs/>
          <w:color w:val="auto"/>
          <w:sz w:val="30"/>
          <w:szCs w:val="30"/>
          <w:u w:val="single"/>
        </w:rPr>
      </w:pP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  <w:u w:val="single"/>
        </w:rPr>
        <w:t>ELEMENTI I KRITERIJI VREDNOVANJA</w:t>
      </w:r>
      <w:bookmarkStart w:id="0" w:name="_GoBack3"/>
      <w:bookmarkEnd w:id="0"/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NewRoman" w:hAnsi="TimesNewRoman" w:eastAsia="Times New Roman" w:cs="TimesNewRoman"/>
          <w:b/>
          <w:b/>
          <w:bCs/>
          <w:color w:val="auto"/>
          <w:sz w:val="30"/>
          <w:szCs w:val="30"/>
          <w:u w:val="single"/>
        </w:rPr>
      </w:pP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  <w:u w:val="single"/>
        </w:rPr>
        <w:t>(nastava na daljinu)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NewRoman" w:hAnsi="TimesNewRoman" w:eastAsia="Times New Roman" w:cs="TimesNewRoman"/>
          <w:b/>
          <w:b/>
          <w:bCs/>
          <w:color w:val="auto"/>
          <w:sz w:val="30"/>
          <w:szCs w:val="30"/>
          <w:u w:val="single"/>
        </w:rPr>
      </w:pP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  <w:u w:val="single"/>
        </w:rPr>
        <w:t>ŠKOLA</w:t>
      </w: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</w:rPr>
        <w:t>: OŠ MIRKA PEREŠA, KAPELA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sz w:val="40"/>
          <w:szCs w:val="40"/>
        </w:rPr>
      </w:pP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  <w:u w:val="single"/>
        </w:rPr>
        <w:t>PREDMETNI UČITELJ:</w:t>
      </w:r>
      <w:r>
        <w:rPr>
          <w:rFonts w:eastAsia="Times New Roman" w:cs="TimesNewRoman" w:ascii="TimesNewRoman" w:hAnsi="TimesNewRoman"/>
          <w:b/>
          <w:bCs/>
          <w:color w:val="auto"/>
          <w:sz w:val="30"/>
          <w:szCs w:val="30"/>
        </w:rPr>
        <w:t xml:space="preserve"> Salmina Gerić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/>
      </w:pPr>
      <w:r>
        <w:rPr>
          <w:sz w:val="40"/>
          <w:szCs w:val="40"/>
        </w:rPr>
        <w:t>Kriteriji ocjenjivanja iz nastavnog predmeta informatika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U nastavnom predmetu </w:t>
      </w:r>
      <w:r>
        <w:rPr>
          <w:b/>
          <w:sz w:val="24"/>
          <w:szCs w:val="24"/>
        </w:rPr>
        <w:t>INFORMATIKA</w:t>
      </w:r>
      <w:r>
        <w:rPr>
          <w:sz w:val="24"/>
          <w:szCs w:val="24"/>
        </w:rPr>
        <w:t xml:space="preserve"> pratit će se tri elementa ocjenjivanja: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Usvojenost znanja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Rješavanje problema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Digitalni sadržaji i suradnja</w:t>
      </w:r>
    </w:p>
    <w:p>
      <w:pPr>
        <w:pStyle w:val="Normal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Usvojenost znanja  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usmena provjera i pisana provjera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pisane provjere se provode 2 puta u školskoj godini (jedna provjera po </w:t>
      </w:r>
      <w:bookmarkStart w:id="1" w:name="_GoBack"/>
      <w:bookmarkEnd w:id="1"/>
      <w:r>
        <w:rPr>
          <w:i/>
          <w:sz w:val="24"/>
          <w:szCs w:val="24"/>
        </w:rPr>
        <w:t>polugodištu)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Rješavanje problema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rad na računalu  </w:t>
      </w:r>
    </w:p>
    <w:p>
      <w:pPr>
        <w:pStyle w:val="Normal"/>
        <w:spacing w:lineRule="atLeast" w:line="320" w:before="0" w:after="60"/>
        <w:ind w:left="405" w:hanging="0"/>
        <w:jc w:val="center"/>
        <w:rPr>
          <w:sz w:val="24"/>
          <w:szCs w:val="24"/>
        </w:rPr>
      </w:pPr>
      <w:r>
        <w:rPr>
          <w:sz w:val="24"/>
          <w:szCs w:val="24"/>
        </w:rPr>
        <w:t>Pisana provjera i rad na računalu</w:t>
      </w:r>
    </w:p>
    <w:tbl>
      <w:tblPr>
        <w:tblStyle w:val="Reetkatablice"/>
        <w:tblW w:w="37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2126"/>
      </w:tblGrid>
      <w:tr>
        <w:trPr/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eastAsiaTheme="minorHAnsi"/>
                <w:i/>
                <w:sz w:val="20"/>
                <w:szCs w:val="20"/>
                <w:lang w:val="hr-HR" w:eastAsia="en-US"/>
              </w:rPr>
              <w:t>Postotak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eastAsiaTheme="minorHAnsi"/>
                <w:i/>
                <w:sz w:val="20"/>
                <w:szCs w:val="20"/>
                <w:lang w:val="hr-HR" w:eastAsia="en-US"/>
              </w:rPr>
              <w:t>Ocjena</w:t>
            </w:r>
          </w:p>
        </w:tc>
      </w:tr>
      <w:tr>
        <w:trPr/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100 – 90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Odličan (5)</w:t>
            </w:r>
          </w:p>
        </w:tc>
      </w:tr>
      <w:tr>
        <w:trPr/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89 – 75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Vrlo dobar (4)</w:t>
            </w:r>
          </w:p>
        </w:tc>
      </w:tr>
      <w:tr>
        <w:trPr/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74 – 60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Dobar (3)</w:t>
            </w:r>
          </w:p>
        </w:tc>
      </w:tr>
      <w:tr>
        <w:trPr/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59 – 50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Dovoljan (2)</w:t>
            </w:r>
          </w:p>
        </w:tc>
      </w:tr>
      <w:tr>
        <w:trPr/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49 - 0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eastAsiaTheme="minorHAnsi"/>
                <w:sz w:val="20"/>
                <w:szCs w:val="20"/>
                <w:lang w:val="hr-HR" w:eastAsia="en-US"/>
              </w:rPr>
              <w:t>Nedovoljan (1)</w:t>
            </w:r>
          </w:p>
        </w:tc>
      </w:tr>
    </w:tbl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Digitalni sadržaji i suradnja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kontinuiranost i samostalnost u izradi domaćih zadaća i projektnih zadataka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odnos prema radu i odnos prema drugim učenicima 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motiviranost za predmet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razvijanje stvaralaštva i kreativnosti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suradnja u usvajanju nastavnih sadržaja</w:t>
      </w:r>
    </w:p>
    <w:p>
      <w:p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sudjelovanje u nastavi </w:t>
      </w:r>
    </w:p>
    <w:p>
      <w:pPr>
        <w:sectPr>
          <w:headerReference w:type="default" r:id="rId2"/>
          <w:type w:val="nextPage"/>
          <w:pgSz w:w="11906" w:h="16838"/>
          <w:pgMar w:left="1134" w:right="1134" w:header="709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ListParagraph"/>
        <w:numPr>
          <w:ilvl w:val="0"/>
          <w:numId w:val="2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redovito izvršavanje obveza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Kriteriji za element </w:t>
      </w:r>
      <w:r>
        <w:rPr>
          <w:b/>
          <w:i/>
          <w:sz w:val="24"/>
          <w:szCs w:val="24"/>
        </w:rPr>
        <w:t>Digitalni sadržaji i suradnja</w:t>
      </w:r>
    </w:p>
    <w:tbl>
      <w:tblPr>
        <w:tblStyle w:val="Reetkatablice"/>
        <w:tblW w:w="14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1"/>
        <w:gridCol w:w="4533"/>
        <w:gridCol w:w="4422"/>
        <w:gridCol w:w="4429"/>
      </w:tblGrid>
      <w:tr>
        <w:trPr/>
        <w:tc>
          <w:tcPr>
            <w:tcW w:w="129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b/>
                <w:b/>
                <w:i/>
                <w:i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b/>
                <w:i/>
                <w:szCs w:val="20"/>
                <w:lang w:val="hr-BA" w:eastAsia="en-US"/>
              </w:rPr>
              <w:t>ocjena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b/>
                <w:b/>
                <w:i/>
                <w:i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b/>
                <w:i/>
                <w:szCs w:val="20"/>
                <w:lang w:val="hr-BA" w:eastAsia="en-US"/>
              </w:rPr>
              <w:t>ponašanje učenika tijekom realizacije aktivnosti (zadataka/programa/vježbi)</w:t>
            </w:r>
          </w:p>
        </w:tc>
        <w:tc>
          <w:tcPr>
            <w:tcW w:w="4422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b/>
                <w:b/>
                <w:i/>
                <w:i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b/>
                <w:i/>
                <w:szCs w:val="20"/>
                <w:lang w:val="hr-BA" w:eastAsia="en-US"/>
              </w:rPr>
              <w:t>zalaganje (aktivnost pri samostalnoj</w:t>
            </w:r>
          </w:p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b/>
                <w:b/>
                <w:i/>
                <w:i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b/>
                <w:i/>
                <w:szCs w:val="20"/>
                <w:lang w:val="hr-BA" w:eastAsia="en-US"/>
              </w:rPr>
              <w:t>realizaciji vježbi/zadataka)</w:t>
            </w:r>
          </w:p>
        </w:tc>
        <w:tc>
          <w:tcPr>
            <w:tcW w:w="442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b/>
                <w:b/>
                <w:i/>
                <w:i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b/>
                <w:i/>
                <w:szCs w:val="20"/>
                <w:lang w:val="hr-BA" w:eastAsia="en-US"/>
              </w:rPr>
              <w:t>razina samostalnosti pri realizaciji ciljeva</w:t>
            </w:r>
          </w:p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b/>
                <w:b/>
                <w:i/>
                <w:i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b/>
                <w:i/>
                <w:szCs w:val="20"/>
                <w:lang w:val="hr-BA" w:eastAsia="en-US"/>
              </w:rPr>
              <w:t>aktivnosti/zadataka/vježbi</w:t>
            </w:r>
          </w:p>
        </w:tc>
      </w:tr>
      <w:tr>
        <w:trPr>
          <w:trHeight w:val="510" w:hRule="atLeast"/>
        </w:trPr>
        <w:tc>
          <w:tcPr>
            <w:tcW w:w="129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odličan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uzorno ponašanje  – davanje i prihvaćanje pomoći, konstruktivna suradnja s drugim učenicima i nastavnikom</w:t>
            </w:r>
          </w:p>
        </w:tc>
        <w:tc>
          <w:tcPr>
            <w:tcW w:w="4422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aktivno sudjelovanje u radu uz odgovoran odnos prema radnom zadatku, materijalnim sredstvima i ostalim učenicima</w:t>
            </w:r>
          </w:p>
        </w:tc>
        <w:tc>
          <w:tcPr>
            <w:tcW w:w="442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rad obavlja potpuno samostalno i na</w:t>
            </w:r>
          </w:p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prihvatljiv način</w:t>
            </w:r>
          </w:p>
        </w:tc>
      </w:tr>
      <w:tr>
        <w:trPr>
          <w:trHeight w:val="510" w:hRule="atLeast"/>
        </w:trPr>
        <w:tc>
          <w:tcPr>
            <w:tcW w:w="129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vrlo dobar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dobro ponašanje i suradnja s drugim učenicima samo u svrhu pomaganja drugim</w:t>
            </w:r>
          </w:p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učenicima, ali ne prihvaćanja pomoći (primjedbe na ponašanje)</w:t>
            </w:r>
          </w:p>
        </w:tc>
        <w:tc>
          <w:tcPr>
            <w:tcW w:w="4422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aktivno sudjelovanje u radu uz odgovoran odnos prema radnom zadatku; nedovoljno odgovoran prema drugim  učenicima</w:t>
            </w:r>
          </w:p>
        </w:tc>
        <w:tc>
          <w:tcPr>
            <w:tcW w:w="442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rad obavlja prihvatljivo i uz povremenu pomoć nastavnika ili učenika</w:t>
            </w:r>
          </w:p>
        </w:tc>
      </w:tr>
      <w:tr>
        <w:trPr>
          <w:trHeight w:val="510" w:hRule="atLeast"/>
        </w:trPr>
        <w:tc>
          <w:tcPr>
            <w:tcW w:w="129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dobar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dobro ponašanje (uz pasivan odnos prema radu) i prihvaćanje pomoći od drugih učenika</w:t>
            </w:r>
          </w:p>
        </w:tc>
        <w:tc>
          <w:tcPr>
            <w:tcW w:w="4422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pasivno sudjelovanje u radu uz odgovoran odnos prema radnom zadatku; prihvatljiv odnos prema učenicima</w:t>
            </w:r>
          </w:p>
        </w:tc>
        <w:tc>
          <w:tcPr>
            <w:tcW w:w="442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rad obavlja prihvatljivo uglavnom uz pomoć nastavnika ili drugog učenika</w:t>
            </w:r>
          </w:p>
        </w:tc>
      </w:tr>
      <w:tr>
        <w:trPr>
          <w:trHeight w:val="510" w:hRule="atLeast"/>
        </w:trPr>
        <w:tc>
          <w:tcPr>
            <w:tcW w:w="129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dovoljan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rad uz značajne primjedbe na ponašanje i nisku razinu suradnje s drugim učenicima</w:t>
            </w:r>
          </w:p>
        </w:tc>
        <w:tc>
          <w:tcPr>
            <w:tcW w:w="4422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pasivno sudjelovanje u radu uz osnovno</w:t>
            </w:r>
          </w:p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prihvaćanje radnog zadatka</w:t>
            </w:r>
          </w:p>
        </w:tc>
        <w:tc>
          <w:tcPr>
            <w:tcW w:w="442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obavlja rad isključivo</w:t>
            </w:r>
          </w:p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uz pomoć nastavnika ili drugog učenika</w:t>
            </w:r>
          </w:p>
        </w:tc>
      </w:tr>
      <w:tr>
        <w:trPr>
          <w:trHeight w:val="510" w:hRule="atLeast"/>
        </w:trPr>
        <w:tc>
          <w:tcPr>
            <w:tcW w:w="129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nedovoljan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eastAsia="Calibri" w:eastAsiaTheme="minorHAnsi"/>
                <w:lang w:val="hr-HR" w:eastAsia="en-US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nedolično ponašanje pri radu i nemaran odnos prema radu i prema drugim učenicima</w:t>
            </w:r>
          </w:p>
        </w:tc>
        <w:tc>
          <w:tcPr>
            <w:tcW w:w="4422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neaktivnost i nezainteresiranost tijekom</w:t>
            </w:r>
          </w:p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izvođenja vježbi; neodgovoran odnos prema</w:t>
            </w:r>
          </w:p>
          <w:p>
            <w:pPr>
              <w:pStyle w:val="Normal"/>
              <w:spacing w:lineRule="atLeast" w:line="320" w:before="0" w:after="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radnom zadatku</w:t>
            </w:r>
          </w:p>
        </w:tc>
        <w:tc>
          <w:tcPr>
            <w:tcW w:w="4429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20" w:before="0" w:after="60"/>
              <w:contextualSpacing/>
              <w:jc w:val="center"/>
              <w:rPr>
                <w:rFonts w:cs="TTE1A65008t00"/>
                <w:szCs w:val="20"/>
                <w:lang w:val="hr-BA"/>
              </w:rPr>
            </w:pPr>
            <w:r>
              <w:rPr>
                <w:rFonts w:eastAsia="Calibri" w:cs="TTE1A65008t00" w:eastAsiaTheme="minorHAnsi"/>
                <w:szCs w:val="20"/>
                <w:lang w:val="hr-BA" w:eastAsia="en-US"/>
              </w:rPr>
              <w:t>potpuno nesamostalno i/ili neprihvatljivo obavlja rad ili ga u potpunosti ne obavlja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contextualSpacing/>
        <w:rPr/>
      </w:pPr>
      <w:r>
        <w:rPr>
          <w:sz w:val="24"/>
          <w:szCs w:val="24"/>
        </w:rPr>
        <w:t>Zaključivanje ocjena – zaključna ocjena ne treba biti aritmetička sredina ocjena. Pri određivanju zaključne ocjene bit će u obzir uzete sve ocjene i odnos učenika prema radu.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contextualSpacing/>
        <w:rPr>
          <w:color w:val="C9211E"/>
          <w:sz w:val="24"/>
          <w:szCs w:val="24"/>
        </w:rPr>
      </w:pPr>
      <w:r>
        <w:rPr/>
      </w:r>
    </w:p>
    <w:p>
      <w:pPr>
        <w:pStyle w:val="Normal"/>
        <w:spacing w:before="0" w:after="200"/>
        <w:contextualSpacing/>
        <w:rPr>
          <w:color w:val="C9211E"/>
          <w:sz w:val="24"/>
          <w:szCs w:val="24"/>
        </w:rPr>
      </w:pPr>
      <w:r>
        <w:rPr/>
      </w:r>
    </w:p>
    <w:p>
      <w:pPr>
        <w:pStyle w:val="Normal"/>
        <w:spacing w:before="0" w:after="200"/>
        <w:contextualSpacing/>
        <w:rPr>
          <w:color w:val="C9211E"/>
          <w:sz w:val="24"/>
          <w:szCs w:val="24"/>
        </w:rPr>
      </w:pPr>
      <w:r>
        <w:rPr/>
      </w:r>
    </w:p>
    <w:p>
      <w:pPr>
        <w:pStyle w:val="Normal"/>
        <w:spacing w:before="0" w:after="200"/>
        <w:contextualSpacing/>
        <w:rPr>
          <w:color w:val="C9211E"/>
          <w:sz w:val="24"/>
          <w:szCs w:val="24"/>
        </w:rPr>
      </w:pPr>
      <w:r>
        <w:rPr/>
      </w:r>
    </w:p>
    <w:p>
      <w:pPr>
        <w:pStyle w:val="Normal"/>
        <w:spacing w:before="0" w:after="200"/>
        <w:contextualSpacing/>
        <w:rPr>
          <w:color w:val="C9211E"/>
          <w:sz w:val="24"/>
          <w:szCs w:val="24"/>
        </w:rPr>
      </w:pPr>
      <w:r>
        <w:rPr/>
      </w:r>
    </w:p>
    <w:p>
      <w:pPr>
        <w:pStyle w:val="Normal"/>
        <w:spacing w:before="0" w:after="200"/>
        <w:contextualSpacing/>
        <w:rPr/>
      </w:pPr>
      <w:r>
        <w:rPr>
          <w:color w:val="C9211E"/>
          <w:sz w:val="24"/>
          <w:szCs w:val="24"/>
        </w:rPr>
        <w:t>Kriteriji za ocjenjivanje Power- Point prezentacija/10 slajdova po odabiru nastavnice:</w:t>
      </w:r>
    </w:p>
    <w:p>
      <w:pPr>
        <w:pStyle w:val="Normal"/>
        <w:spacing w:before="0" w:after="200"/>
        <w:contextualSpacing/>
        <w:rPr>
          <w:color w:val="C9211E"/>
          <w:sz w:val="24"/>
          <w:szCs w:val="24"/>
        </w:rPr>
      </w:pPr>
      <w:r>
        <w:rPr/>
      </w:r>
    </w:p>
    <w:p>
      <w:pPr>
        <w:pStyle w:val="Normal"/>
        <w:spacing w:before="0" w:after="200"/>
        <w:contextualSpacing/>
        <w:rPr>
          <w:color w:val="C9211E"/>
        </w:rPr>
      </w:pPr>
      <w:r>
        <w:rPr>
          <w:color w:val="C9211E"/>
          <w:sz w:val="24"/>
          <w:szCs w:val="24"/>
        </w:rPr>
        <w:t>JASNOĆA PORUKE/ KVALITETA SADRŽAJA /IZGLED  PRIKAZA /KREATIVNOST</w:t>
      </w:r>
    </w:p>
    <w:p>
      <w:pPr>
        <w:pStyle w:val="Normal"/>
        <w:spacing w:before="0" w:after="200"/>
        <w:contextualSpacing/>
        <w:rPr/>
      </w:pPr>
      <w:r>
        <w:rPr>
          <w:color w:val="C9211E"/>
          <w:sz w:val="24"/>
          <w:szCs w:val="24"/>
        </w:rPr>
        <w:t xml:space="preserve">odličan 5- Sadržaj je zanimljiv, relevantan i jasan. Rečenice su jasne te lako razumljive, </w:t>
      </w:r>
      <w:r>
        <w:rPr>
          <w:color w:val="C9211E"/>
          <w:sz w:val="24"/>
          <w:szCs w:val="24"/>
        </w:rPr>
        <w:t>t</w:t>
      </w:r>
      <w:r>
        <w:rPr>
          <w:color w:val="C9211E"/>
          <w:sz w:val="24"/>
          <w:szCs w:val="24"/>
        </w:rPr>
        <w:t xml:space="preserve">ekst je pregledan, a  poruka jasna, dojmljiva i  jezgrovita te se lako  prati i bez prisustva autora. Tekst sadrži zanimljive informacije o zadanoj temi. Kreativnost je prepoznatljiva i vizualno (tekst, boje, izbor slova, slike, video i audio dodaci). </w:t>
      </w:r>
    </w:p>
    <w:p>
      <w:pPr>
        <w:pStyle w:val="Normal"/>
        <w:spacing w:before="0" w:after="200"/>
        <w:contextualSpacing/>
        <w:rPr>
          <w:color w:val="C9211E"/>
        </w:rPr>
      </w:pPr>
      <w:r>
        <w:rPr>
          <w:color w:val="C9211E"/>
          <w:sz w:val="24"/>
          <w:szCs w:val="24"/>
        </w:rPr>
        <w:t xml:space="preserve"> </w:t>
      </w:r>
      <w:r>
        <w:rPr>
          <w:color w:val="C9211E"/>
          <w:sz w:val="24"/>
          <w:szCs w:val="24"/>
        </w:rPr>
        <w:t xml:space="preserve">Vrlo dobar 4-Poruka je djelomično jasna. Rečenice sadrže pogreške koje utječu na razumijevanje sadržaja. </w:t>
      </w:r>
    </w:p>
    <w:p>
      <w:pPr>
        <w:pStyle w:val="Normal"/>
        <w:spacing w:before="0" w:after="200"/>
        <w:contextualSpacing/>
        <w:rPr>
          <w:color w:val="C9211E"/>
        </w:rPr>
      </w:pPr>
      <w:r>
        <w:rPr>
          <w:color w:val="C9211E"/>
          <w:sz w:val="24"/>
          <w:szCs w:val="24"/>
        </w:rPr>
        <w:t xml:space="preserve"> </w:t>
      </w:r>
      <w:r>
        <w:rPr>
          <w:color w:val="C9211E"/>
          <w:sz w:val="24"/>
          <w:szCs w:val="24"/>
        </w:rPr>
        <w:t>Dobar 3-Poruka je nejasna i nerazumljiva, tekst je kompliciran i opširan te nejasan i samom izlagaču. Sadržaj i prikaz teksta su nezanimljivi.</w:t>
      </w:r>
    </w:p>
    <w:p>
      <w:pPr>
        <w:pStyle w:val="Normal"/>
        <w:spacing w:before="0" w:after="200"/>
        <w:contextualSpacing/>
        <w:rPr>
          <w:color w:val="C9211E"/>
        </w:rPr>
      </w:pPr>
      <w:r>
        <w:rPr>
          <w:color w:val="C9211E"/>
          <w:sz w:val="24"/>
          <w:szCs w:val="24"/>
        </w:rPr>
        <w:t xml:space="preserve">Dovoljan 2-tekst nepregledan, nema jasnu strukturu te je nerazumljiv. </w:t>
      </w:r>
    </w:p>
    <w:p>
      <w:pPr>
        <w:pStyle w:val="Normal"/>
        <w:spacing w:before="0" w:after="200"/>
        <w:contextualSpacing/>
        <w:rPr/>
      </w:pPr>
      <w:r>
        <w:rPr>
          <w:color w:val="C9211E"/>
          <w:sz w:val="24"/>
          <w:szCs w:val="24"/>
        </w:rPr>
        <w:t>Nedovoljan 1- nije poslano na vrijeme, poslano je manje od 5 slajdova, nejasno, nezanimljivo.</w:t>
      </w:r>
    </w:p>
    <w:sectPr>
      <w:headerReference w:type="default" r:id="rId3"/>
      <w:type w:val="nextPage"/>
      <w:pgSz w:orient="landscape" w:w="16838" w:h="11906"/>
      <w:pgMar w:left="1134" w:right="1134" w:header="709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right"/>
      <w:rPr>
        <w:sz w:val="18"/>
        <w:szCs w:val="18"/>
      </w:rPr>
    </w:pPr>
    <w:r>
      <w:rPr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right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BA" w:eastAsia="hr-B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semiHidden/>
    <w:qFormat/>
    <w:rsid w:val="00d467d7"/>
    <w:rPr/>
  </w:style>
  <w:style w:type="character" w:styleId="PodnojeChar" w:customStyle="1">
    <w:name w:val="Podnožje Char"/>
    <w:basedOn w:val="DefaultParagraphFont"/>
    <w:link w:val="Podnoje"/>
    <w:uiPriority w:val="99"/>
    <w:semiHidden/>
    <w:qFormat/>
    <w:rsid w:val="00d467d7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Symbol"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Symbol"/>
      <w:sz w:val="24"/>
    </w:rPr>
  </w:style>
  <w:style w:type="character" w:styleId="ListLabel36">
    <w:name w:val="ListLabel 36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Symbol"/>
    </w:rPr>
  </w:style>
  <w:style w:type="character" w:styleId="ListLabel30">
    <w:name w:val="ListLabel 30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Symbol"/>
      <w:sz w:val="24"/>
    </w:rPr>
  </w:style>
  <w:style w:type="character" w:styleId="ListLabel46">
    <w:name w:val="ListLabel 46"/>
    <w:qFormat/>
    <w:rPr>
      <w:rFonts w:cs="Symbol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2b1fbe"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" w:cs="Calibri"/>
      <w:color w:val="000000"/>
      <w:kern w:val="0"/>
      <w:sz w:val="24"/>
      <w:szCs w:val="24"/>
      <w:lang w:val="hr-BA" w:eastAsia="hr-BA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d467d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semiHidden/>
    <w:unhideWhenUsed/>
    <w:rsid w:val="00d467d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021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e2c95"/>
    <w:pPr>
      <w:spacing w:after="0" w:line="240" w:lineRule="auto"/>
    </w:pPr>
    <w:rPr>
      <w:rFonts w:eastAsiaTheme="minorHAnsi"/>
      <w:lang w:val="hr-H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header" Target="header2.xml"/><Relationship Id="rId7" Type="http://schemas.openxmlformats.org/officeDocument/2006/relationships/theme" Target="theme/theme1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D8C34823E0547B964EB228744751B" ma:contentTypeVersion="7" ma:contentTypeDescription="Stvaranje novog dokumenta." ma:contentTypeScope="" ma:versionID="199933c80a2149af6ef3889197063a8b">
  <xsd:schema xmlns:xsd="http://www.w3.org/2001/XMLSchema" xmlns:xs="http://www.w3.org/2001/XMLSchema" xmlns:p="http://schemas.microsoft.com/office/2006/metadata/properties" xmlns:ns2="650f7628-abdb-48e3-858f-374bac2d2c22" targetNamespace="http://schemas.microsoft.com/office/2006/metadata/properties" ma:root="true" ma:fieldsID="261af5b5165faeb1b9067c65e6902750" ns2:_="">
    <xsd:import namespace="650f7628-abdb-48e3-858f-374bac2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7628-abdb-48e3-858f-374bac2d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ECED0-C914-44F3-A45F-C32651DE3C21}"/>
</file>

<file path=customXml/itemProps2.xml><?xml version="1.0" encoding="utf-8"?>
<ds:datastoreItem xmlns:ds="http://schemas.openxmlformats.org/officeDocument/2006/customXml" ds:itemID="{9F9BCF53-5257-49E8-B87F-E50088BC1DD5}"/>
</file>

<file path=customXml/itemProps3.xml><?xml version="1.0" encoding="utf-8"?>
<ds:datastoreItem xmlns:ds="http://schemas.openxmlformats.org/officeDocument/2006/customXml" ds:itemID="{A5D0C36A-C896-493C-92C6-7F4D1124B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LibreOffice/6.2.5.2$Windows_X86_64 LibreOffice_project/1ec314fa52f458adc18c4f025c545a4e8b22c159</Application>
  <Pages>4</Pages>
  <Words>521</Words>
  <Characters>3197</Characters>
  <CharactersWithSpaces>3654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dc:description/>
  <cp:lastModifiedBy/>
  <cp:revision>51</cp:revision>
  <dcterms:created xsi:type="dcterms:W3CDTF">2016-07-01T14:39:00Z</dcterms:created>
  <dcterms:modified xsi:type="dcterms:W3CDTF">2020-04-09T16:09:59Z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0x010100645D8C34823E0547B964EB228744751B</vt:lpwstr>
  </property>
</Properties>
</file>